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1E80" w14:textId="67F2C211" w:rsidR="002502F3" w:rsidRPr="00383C23" w:rsidRDefault="00704331" w:rsidP="009D291F">
      <w:pPr>
        <w:pStyle w:val="NoSpacing"/>
        <w:jc w:val="center"/>
        <w:rPr>
          <w:rFonts w:ascii="IBM Plex Sans" w:hAnsi="IBM Plex Sans"/>
          <w:sz w:val="20"/>
          <w:szCs w:val="20"/>
        </w:rPr>
      </w:pPr>
      <w:r w:rsidRPr="00383C23">
        <w:rPr>
          <w:rFonts w:ascii="IBM Plex Sans" w:hAnsi="IBM Plex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804360" wp14:editId="1B566AD1">
            <wp:simplePos x="0" y="0"/>
            <wp:positionH relativeFrom="column">
              <wp:posOffset>1971675</wp:posOffset>
            </wp:positionH>
            <wp:positionV relativeFrom="paragraph">
              <wp:posOffset>-710565</wp:posOffset>
            </wp:positionV>
            <wp:extent cx="1762125" cy="14814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A32E" w14:textId="77777777" w:rsidR="002502F3" w:rsidRPr="00383C23" w:rsidRDefault="002502F3" w:rsidP="009D291F">
      <w:pPr>
        <w:pStyle w:val="NoSpacing"/>
        <w:jc w:val="center"/>
        <w:rPr>
          <w:rFonts w:ascii="IBM Plex Sans" w:hAnsi="IBM Plex Sans"/>
          <w:sz w:val="20"/>
          <w:szCs w:val="20"/>
        </w:rPr>
      </w:pPr>
    </w:p>
    <w:p w14:paraId="61C8018D" w14:textId="77777777" w:rsidR="002502F3" w:rsidRPr="00383C23" w:rsidRDefault="002502F3" w:rsidP="009D291F">
      <w:pPr>
        <w:pStyle w:val="NoSpacing"/>
        <w:jc w:val="center"/>
        <w:rPr>
          <w:rFonts w:ascii="IBM Plex Sans" w:hAnsi="IBM Plex Sans"/>
          <w:sz w:val="20"/>
          <w:szCs w:val="20"/>
        </w:rPr>
      </w:pPr>
    </w:p>
    <w:p w14:paraId="5E7F63BF" w14:textId="3C496D4C" w:rsidR="001D0552" w:rsidRPr="00383C23" w:rsidRDefault="001D0552" w:rsidP="009D291F">
      <w:pPr>
        <w:pStyle w:val="NoSpacing"/>
        <w:jc w:val="center"/>
        <w:rPr>
          <w:rFonts w:ascii="IBM Plex Sans" w:hAnsi="IBM Plex Sans"/>
          <w:sz w:val="20"/>
          <w:szCs w:val="20"/>
        </w:rPr>
      </w:pPr>
    </w:p>
    <w:p w14:paraId="07C12AE7" w14:textId="77777777" w:rsidR="009D291F" w:rsidRPr="00383C23" w:rsidRDefault="009D291F" w:rsidP="00C977E4">
      <w:pPr>
        <w:pStyle w:val="NoSpacing"/>
        <w:rPr>
          <w:rFonts w:ascii="IBM Plex Sans" w:hAnsi="IBM Plex Sans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7E1D4B" w:rsidRPr="00383C23" w14:paraId="349D0A26" w14:textId="77777777" w:rsidTr="00A45D6B">
        <w:tc>
          <w:tcPr>
            <w:tcW w:w="3681" w:type="dxa"/>
            <w:vAlign w:val="center"/>
          </w:tcPr>
          <w:p w14:paraId="764DF469" w14:textId="77777777" w:rsidR="007E1D4B" w:rsidRPr="00383C23" w:rsidRDefault="007E1D4B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Job Title</w:t>
            </w:r>
          </w:p>
        </w:tc>
        <w:tc>
          <w:tcPr>
            <w:tcW w:w="5953" w:type="dxa"/>
            <w:vAlign w:val="center"/>
          </w:tcPr>
          <w:p w14:paraId="27A65F26" w14:textId="6D51324D" w:rsidR="007E1D4B" w:rsidRPr="00383C23" w:rsidRDefault="00994AC7" w:rsidP="00092BFE">
            <w:pPr>
              <w:pStyle w:val="NoSpacing"/>
              <w:spacing w:before="60" w:after="60"/>
              <w:rPr>
                <w:rFonts w:ascii="IBM Plex Sans" w:hAnsi="IBM Plex Sans" w:cs="Sanskrit Text"/>
                <w:sz w:val="20"/>
                <w:szCs w:val="20"/>
              </w:rPr>
            </w:pPr>
            <w:r w:rsidRPr="00383C23">
              <w:rPr>
                <w:rFonts w:ascii="IBM Plex Sans" w:hAnsi="IBM Plex Sans" w:cs="Sanskrit Text"/>
                <w:sz w:val="20"/>
                <w:szCs w:val="20"/>
              </w:rPr>
              <w:t>Tenancy Manager</w:t>
            </w:r>
          </w:p>
        </w:tc>
      </w:tr>
      <w:tr w:rsidR="007E1D4B" w:rsidRPr="00383C23" w14:paraId="18CBA0A9" w14:textId="77777777" w:rsidTr="00A45D6B">
        <w:tc>
          <w:tcPr>
            <w:tcW w:w="3681" w:type="dxa"/>
            <w:vAlign w:val="center"/>
          </w:tcPr>
          <w:p w14:paraId="079B2960" w14:textId="77777777" w:rsidR="007E1D4B" w:rsidRPr="00383C23" w:rsidRDefault="007E1D4B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Service</w:t>
            </w:r>
          </w:p>
        </w:tc>
        <w:tc>
          <w:tcPr>
            <w:tcW w:w="5953" w:type="dxa"/>
            <w:vAlign w:val="center"/>
          </w:tcPr>
          <w:p w14:paraId="668F0BFC" w14:textId="0DD4285E" w:rsidR="007E1D4B" w:rsidRPr="00383C23" w:rsidRDefault="0029246A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ACMHL</w:t>
            </w:r>
          </w:p>
        </w:tc>
      </w:tr>
      <w:tr w:rsidR="007E1D4B" w:rsidRPr="00383C23" w14:paraId="29EB7D18" w14:textId="77777777" w:rsidTr="00A45D6B">
        <w:tc>
          <w:tcPr>
            <w:tcW w:w="3681" w:type="dxa"/>
            <w:vAlign w:val="center"/>
          </w:tcPr>
          <w:p w14:paraId="56DF2C44" w14:textId="77777777" w:rsidR="007E1D4B" w:rsidRPr="00383C23" w:rsidRDefault="007E1D4B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Location</w:t>
            </w:r>
          </w:p>
        </w:tc>
        <w:tc>
          <w:tcPr>
            <w:tcW w:w="5953" w:type="dxa"/>
            <w:vAlign w:val="center"/>
          </w:tcPr>
          <w:p w14:paraId="4AB2015F" w14:textId="5C1608DF" w:rsidR="007E1D4B" w:rsidRPr="00383C23" w:rsidRDefault="00994AC7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Multi-site</w:t>
            </w:r>
          </w:p>
        </w:tc>
      </w:tr>
      <w:tr w:rsidR="007E1D4B" w:rsidRPr="00383C23" w14:paraId="11D386B9" w14:textId="77777777" w:rsidTr="00A45D6B">
        <w:tc>
          <w:tcPr>
            <w:tcW w:w="3681" w:type="dxa"/>
            <w:vAlign w:val="center"/>
          </w:tcPr>
          <w:p w14:paraId="4A2AC48E" w14:textId="77777777" w:rsidR="007E1D4B" w:rsidRPr="00383C23" w:rsidRDefault="007E1D4B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Reports to</w:t>
            </w:r>
          </w:p>
        </w:tc>
        <w:tc>
          <w:tcPr>
            <w:tcW w:w="5953" w:type="dxa"/>
            <w:vAlign w:val="center"/>
          </w:tcPr>
          <w:p w14:paraId="65C35652" w14:textId="5A85EB7F" w:rsidR="007E1D4B" w:rsidRPr="00383C23" w:rsidRDefault="005C6AA8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>
              <w:rPr>
                <w:rFonts w:ascii="IBM Plex Sans" w:hAnsi="IBM Plex Sans" w:cs="Arial"/>
                <w:sz w:val="20"/>
                <w:szCs w:val="20"/>
              </w:rPr>
              <w:t>Operations Manager - ACMHL</w:t>
            </w:r>
          </w:p>
        </w:tc>
      </w:tr>
      <w:tr w:rsidR="005360B2" w:rsidRPr="00383C23" w14:paraId="14ACB90E" w14:textId="77777777" w:rsidTr="00A45D6B">
        <w:tc>
          <w:tcPr>
            <w:tcW w:w="3681" w:type="dxa"/>
            <w:vAlign w:val="center"/>
          </w:tcPr>
          <w:p w14:paraId="7FDB30A5" w14:textId="029A1658" w:rsidR="005360B2" w:rsidRPr="00383C23" w:rsidRDefault="005360B2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Direct reports</w:t>
            </w:r>
          </w:p>
        </w:tc>
        <w:tc>
          <w:tcPr>
            <w:tcW w:w="5953" w:type="dxa"/>
            <w:vAlign w:val="center"/>
          </w:tcPr>
          <w:p w14:paraId="16E61B29" w14:textId="2586C5BD" w:rsidR="005360B2" w:rsidRPr="00383C23" w:rsidRDefault="0029246A" w:rsidP="00092BFE">
            <w:pPr>
              <w:pStyle w:val="NoSpacing"/>
              <w:spacing w:before="60" w:after="60"/>
              <w:rPr>
                <w:rFonts w:ascii="IBM Plex Sans" w:hAnsi="IBM Plex Sans" w:cs="Arial"/>
                <w:sz w:val="20"/>
                <w:szCs w:val="20"/>
              </w:rPr>
            </w:pPr>
            <w:r w:rsidRPr="00383C23">
              <w:rPr>
                <w:rFonts w:ascii="IBM Plex Sans" w:hAnsi="IBM Plex Sans" w:cs="Arial"/>
                <w:sz w:val="20"/>
                <w:szCs w:val="20"/>
              </w:rPr>
              <w:t>Nil</w:t>
            </w:r>
          </w:p>
        </w:tc>
      </w:tr>
      <w:tr w:rsidR="00092BFE" w:rsidRPr="00383C23" w14:paraId="30F2FEDD" w14:textId="77777777" w:rsidTr="00A45D6B">
        <w:trPr>
          <w:trHeight w:val="221"/>
        </w:trPr>
        <w:tc>
          <w:tcPr>
            <w:tcW w:w="9634" w:type="dxa"/>
            <w:gridSpan w:val="2"/>
          </w:tcPr>
          <w:p w14:paraId="5092F5F8" w14:textId="7F1F15CB" w:rsidR="00092BFE" w:rsidRPr="00CB7419" w:rsidRDefault="00092BFE" w:rsidP="00673028">
            <w:pPr>
              <w:pStyle w:val="NoSpacing"/>
              <w:spacing w:before="60" w:after="60"/>
              <w:rPr>
                <w:rFonts w:ascii="IBM Plex Sans" w:eastAsia="Calibri" w:hAnsi="IBM Plex Sans" w:cs="Arial"/>
              </w:rPr>
            </w:pPr>
            <w:r w:rsidRPr="00CB7419">
              <w:rPr>
                <w:rFonts w:ascii="IBM Plex Sans" w:hAnsi="IBM Plex Sans" w:cs="Arial"/>
                <w:b/>
                <w:bCs/>
              </w:rPr>
              <w:t>Job Purpose</w:t>
            </w:r>
          </w:p>
        </w:tc>
      </w:tr>
      <w:tr w:rsidR="001A629E" w:rsidRPr="00383C23" w14:paraId="24C01241" w14:textId="77777777" w:rsidTr="00A45D6B">
        <w:tc>
          <w:tcPr>
            <w:tcW w:w="9634" w:type="dxa"/>
            <w:gridSpan w:val="2"/>
          </w:tcPr>
          <w:p w14:paraId="73885625" w14:textId="068ABC0D" w:rsidR="006D2D97" w:rsidRPr="00383C23" w:rsidRDefault="00092BFE" w:rsidP="009F05DE">
            <w:pPr>
              <w:rPr>
                <w:rFonts w:ascii="IBM Plex Sans" w:hAnsi="IBM Plex Sans"/>
                <w:sz w:val="20"/>
                <w:szCs w:val="20"/>
                <w:lang w:eastAsia="en-NZ"/>
              </w:rPr>
            </w:pPr>
            <w:r w:rsidRPr="00383C23">
              <w:rPr>
                <w:rFonts w:ascii="IBM Plex Sans" w:hAnsi="IBM Plex Sans"/>
                <w:sz w:val="20"/>
                <w:szCs w:val="20"/>
              </w:rPr>
              <w:br w:type="page"/>
            </w:r>
            <w:r w:rsidR="005E2C5A" w:rsidRPr="00383C23">
              <w:rPr>
                <w:rFonts w:ascii="IBM Plex Sans" w:hAnsi="IBM Plex Sans"/>
                <w:sz w:val="20"/>
                <w:szCs w:val="20"/>
              </w:rPr>
              <w:br w:type="page"/>
            </w:r>
            <w:r w:rsidR="004970EB" w:rsidRPr="00383C23">
              <w:rPr>
                <w:rFonts w:ascii="IBM Plex Sans" w:hAnsi="IBM Plex Sans"/>
                <w:sz w:val="20"/>
                <w:szCs w:val="20"/>
              </w:rPr>
              <w:t>Tenancy managers deliver end to end tenancy</w:t>
            </w:r>
            <w:r w:rsidR="00577DB1" w:rsidRPr="00383C23">
              <w:rPr>
                <w:rFonts w:ascii="IBM Plex Sans" w:hAnsi="IBM Plex Sans"/>
                <w:sz w:val="20"/>
                <w:szCs w:val="20"/>
              </w:rPr>
              <w:t xml:space="preserve"> and property management</w:t>
            </w:r>
            <w:r w:rsidR="004970EB" w:rsidRPr="00383C23">
              <w:rPr>
                <w:rFonts w:ascii="IBM Plex Sans" w:hAnsi="IBM Plex Sans"/>
                <w:sz w:val="20"/>
                <w:szCs w:val="20"/>
              </w:rPr>
              <w:t xml:space="preserve"> </w:t>
            </w:r>
            <w:r w:rsidR="00577DB1" w:rsidRPr="00383C23">
              <w:rPr>
                <w:rFonts w:ascii="IBM Plex Sans" w:hAnsi="IBM Plex Sans"/>
                <w:sz w:val="20"/>
                <w:szCs w:val="20"/>
              </w:rPr>
              <w:t xml:space="preserve">services </w:t>
            </w:r>
            <w:r w:rsidR="003C1461" w:rsidRPr="00383C23">
              <w:rPr>
                <w:rFonts w:ascii="IBM Plex Sans" w:hAnsi="IBM Plex Sans"/>
                <w:sz w:val="20"/>
                <w:szCs w:val="20"/>
              </w:rPr>
              <w:t>across an allocated portfolio of properties with t</w:t>
            </w:r>
            <w:r w:rsidR="00A81C49" w:rsidRPr="00383C23">
              <w:rPr>
                <w:rFonts w:ascii="IBM Plex Sans" w:hAnsi="IBM Plex Sans"/>
                <w:sz w:val="20"/>
                <w:szCs w:val="20"/>
              </w:rPr>
              <w:t>he goal of enabling sustain</w:t>
            </w:r>
            <w:r w:rsidR="00B22CD4" w:rsidRPr="00383C23">
              <w:rPr>
                <w:rFonts w:ascii="IBM Plex Sans" w:hAnsi="IBM Plex Sans"/>
                <w:sz w:val="20"/>
                <w:szCs w:val="20"/>
              </w:rPr>
              <w:t xml:space="preserve">ed housing solutions for tenants. </w:t>
            </w:r>
          </w:p>
          <w:p w14:paraId="365D25B7" w14:textId="77777777" w:rsidR="001A629E" w:rsidRPr="00383C23" w:rsidRDefault="000E7D8E" w:rsidP="009F05DE">
            <w:pPr>
              <w:rPr>
                <w:rFonts w:ascii="IBM Plex Sans" w:hAnsi="IBM Plex Sans"/>
                <w:sz w:val="20"/>
                <w:szCs w:val="20"/>
                <w:lang w:eastAsia="en-NZ"/>
              </w:rPr>
            </w:pPr>
            <w:r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Key to the role is to ensure the service </w:t>
            </w:r>
            <w:r w:rsidR="00875CA7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complies with relevant legislation.</w:t>
            </w:r>
          </w:p>
          <w:p w14:paraId="4AE3EB20" w14:textId="09E853DB" w:rsidR="00211704" w:rsidRPr="00383C23" w:rsidRDefault="00211704" w:rsidP="009F05DE">
            <w:pPr>
              <w:rPr>
                <w:rFonts w:ascii="IBM Plex Sans" w:hAnsi="IBM Plex Sans"/>
                <w:sz w:val="20"/>
                <w:szCs w:val="20"/>
                <w:lang w:eastAsia="en-NZ"/>
              </w:rPr>
            </w:pPr>
            <w:r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This role is not responsible for the provision of social services</w:t>
            </w:r>
            <w:r w:rsidR="002727D0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 which are delivered by A</w:t>
            </w:r>
            <w:r w:rsidR="00E563E3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uckland City </w:t>
            </w:r>
            <w:proofErr w:type="gramStart"/>
            <w:r w:rsidR="00E563E3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Mission</w:t>
            </w:r>
            <w:r w:rsidR="00704331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,</w:t>
            </w:r>
            <w:r w:rsidR="002727D0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 but</w:t>
            </w:r>
            <w:proofErr w:type="gramEnd"/>
            <w:r w:rsidR="002727D0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 liaises and works closely with the social services tea</w:t>
            </w:r>
            <w:r w:rsidR="008306C5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m</w:t>
            </w:r>
            <w:r w:rsidR="00042AC1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>s</w:t>
            </w:r>
            <w:r w:rsidR="008306C5" w:rsidRPr="00383C23">
              <w:rPr>
                <w:rFonts w:ascii="IBM Plex Sans" w:hAnsi="IBM Plex Sans"/>
                <w:sz w:val="20"/>
                <w:szCs w:val="20"/>
                <w:lang w:eastAsia="en-NZ"/>
              </w:rPr>
              <w:t xml:space="preserve"> to support sustainable tenancies.</w:t>
            </w:r>
          </w:p>
        </w:tc>
      </w:tr>
      <w:tr w:rsidR="00D116DF" w:rsidRPr="00383C23" w14:paraId="25E982E1" w14:textId="77777777" w:rsidTr="00A45D6B">
        <w:tc>
          <w:tcPr>
            <w:tcW w:w="3686" w:type="dxa"/>
          </w:tcPr>
          <w:p w14:paraId="63D953CA" w14:textId="7015F176" w:rsidR="00D116DF" w:rsidRPr="00CB7419" w:rsidRDefault="00053730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lang w:eastAsia="en-NZ"/>
              </w:rPr>
            </w:pPr>
            <w:r w:rsidRPr="00CB7419">
              <w:rPr>
                <w:rFonts w:ascii="IBM Plex Sans" w:eastAsiaTheme="minorEastAsia" w:hAnsi="IBM Plex Sans" w:cs="Calibri"/>
                <w:b/>
                <w:bCs/>
                <w:lang w:eastAsia="en-NZ"/>
              </w:rPr>
              <w:t>Key Result Area</w:t>
            </w:r>
          </w:p>
        </w:tc>
        <w:tc>
          <w:tcPr>
            <w:tcW w:w="5953" w:type="dxa"/>
          </w:tcPr>
          <w:p w14:paraId="23704A92" w14:textId="4E426865" w:rsidR="00D116DF" w:rsidRPr="00CB7419" w:rsidRDefault="00053730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lang w:eastAsia="en-NZ"/>
              </w:rPr>
            </w:pPr>
            <w:r w:rsidRPr="00CB7419">
              <w:rPr>
                <w:rFonts w:ascii="IBM Plex Sans" w:eastAsiaTheme="minorEastAsia" w:hAnsi="IBM Plex Sans" w:cs="Calibri"/>
                <w:b/>
                <w:bCs/>
                <w:lang w:eastAsia="en-NZ"/>
              </w:rPr>
              <w:t>Key Accountabilities</w:t>
            </w:r>
          </w:p>
        </w:tc>
      </w:tr>
      <w:tr w:rsidR="00D116DF" w:rsidRPr="00383C23" w14:paraId="774F5DA2" w14:textId="77777777" w:rsidTr="00A45D6B">
        <w:tc>
          <w:tcPr>
            <w:tcW w:w="3686" w:type="dxa"/>
          </w:tcPr>
          <w:p w14:paraId="0A4EC24A" w14:textId="7798573A" w:rsidR="00D116DF" w:rsidRPr="00383C23" w:rsidRDefault="00053730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Tenancy Management Services</w:t>
            </w:r>
          </w:p>
        </w:tc>
        <w:tc>
          <w:tcPr>
            <w:tcW w:w="5953" w:type="dxa"/>
          </w:tcPr>
          <w:p w14:paraId="7904F060" w14:textId="05F70642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2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 xml:space="preserve">Deliver effective end to end tenancy management services across the portfolio properties </w:t>
            </w:r>
          </w:p>
          <w:p w14:paraId="4D86824B" w14:textId="4CA58BF5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1" w:line="242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Assess applications and select tenants in accordance with policies and value</w:t>
            </w:r>
            <w:r w:rsidR="003031FD"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s</w:t>
            </w:r>
          </w:p>
          <w:p w14:paraId="3C4154FB" w14:textId="52517A2C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0" w:line="242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 xml:space="preserve">Allocate properties and prepare tenancy agreement and associated documents in a timely manner </w:t>
            </w:r>
          </w:p>
          <w:p w14:paraId="316603F1" w14:textId="74072CE0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 xml:space="preserve">Welcome and induct tenant in accordance with guidelines </w:t>
            </w:r>
          </w:p>
          <w:p w14:paraId="31B1F777" w14:textId="6077EE8B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 xml:space="preserve">Respond to maintenance requests and complaints </w:t>
            </w:r>
          </w:p>
          <w:p w14:paraId="136F4B94" w14:textId="6CED2381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0" w:line="242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Conduct regular inspections and follow up on repair and maintenance requirements</w:t>
            </w:r>
          </w:p>
          <w:p w14:paraId="2FB31AD9" w14:textId="0AFF7930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2" w:line="259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Collect rent and manage rent arrears</w:t>
            </w:r>
          </w:p>
          <w:p w14:paraId="0519C583" w14:textId="7D7AE2C0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2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Address anti-social behaviour issues</w:t>
            </w:r>
          </w:p>
          <w:p w14:paraId="48BADB6D" w14:textId="6814C974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0" w:line="242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 xml:space="preserve">Issue notices to tenants e.g. planned maintenance work and/ or enforcement or breach of </w:t>
            </w:r>
            <w:proofErr w:type="gramStart"/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tenancy</w:t>
            </w:r>
            <w:proofErr w:type="gramEnd"/>
          </w:p>
          <w:p w14:paraId="4380BE36" w14:textId="34737368" w:rsidR="00D116DF" w:rsidRPr="00383C23" w:rsidRDefault="00D116DF" w:rsidP="00D116DF">
            <w:pPr>
              <w:pStyle w:val="ListParagraph"/>
              <w:numPr>
                <w:ilvl w:val="0"/>
                <w:numId w:val="12"/>
              </w:numPr>
              <w:spacing w:after="40" w:line="242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Process the termination of a Tenancy Agreement including final inspection</w:t>
            </w:r>
          </w:p>
          <w:p w14:paraId="48953495" w14:textId="7CFA08A0" w:rsidR="00D116DF" w:rsidRPr="00383C23" w:rsidRDefault="00D116DF" w:rsidP="00D116DF">
            <w:pPr>
              <w:pStyle w:val="ListParagraph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Maintain tenancy and property records</w:t>
            </w:r>
          </w:p>
          <w:p w14:paraId="50F82EB1" w14:textId="3DD35B26" w:rsidR="00610F75" w:rsidRPr="00383C23" w:rsidRDefault="00610F75" w:rsidP="00610F75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</w:rPr>
            </w:pPr>
          </w:p>
          <w:p w14:paraId="0A804E7A" w14:textId="6DF419F8" w:rsidR="003031FD" w:rsidRPr="00383C23" w:rsidRDefault="003031FD" w:rsidP="003031FD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</w:rPr>
            </w:pPr>
          </w:p>
        </w:tc>
      </w:tr>
      <w:tr w:rsidR="003031FD" w:rsidRPr="00383C23" w14:paraId="0A8BFEBF" w14:textId="77777777" w:rsidTr="00A45D6B">
        <w:tc>
          <w:tcPr>
            <w:tcW w:w="3686" w:type="dxa"/>
          </w:tcPr>
          <w:p w14:paraId="3E8E0B17" w14:textId="1DD0611C" w:rsidR="003031FD" w:rsidRPr="00383C23" w:rsidRDefault="003031FD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Relationship Management</w:t>
            </w:r>
          </w:p>
        </w:tc>
        <w:tc>
          <w:tcPr>
            <w:tcW w:w="5953" w:type="dxa"/>
          </w:tcPr>
          <w:p w14:paraId="6D00D426" w14:textId="1DA7D646" w:rsidR="003031FD" w:rsidRPr="00383C23" w:rsidRDefault="003031FD" w:rsidP="003031FD">
            <w:pPr>
              <w:pStyle w:val="ListParagraph"/>
              <w:numPr>
                <w:ilvl w:val="0"/>
                <w:numId w:val="16"/>
              </w:numPr>
              <w:ind w:right="9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sz w:val="20"/>
                <w:szCs w:val="20"/>
              </w:rPr>
              <w:t>Actively build relationships with tenants, utilising a case management approach</w:t>
            </w:r>
          </w:p>
          <w:p w14:paraId="7BB04EFF" w14:textId="0F308428" w:rsidR="003031FD" w:rsidRPr="00383C23" w:rsidRDefault="003031FD" w:rsidP="00AC57B4">
            <w:pPr>
              <w:pStyle w:val="ListParagraph"/>
              <w:numPr>
                <w:ilvl w:val="0"/>
                <w:numId w:val="16"/>
              </w:numPr>
              <w:ind w:right="9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sz w:val="20"/>
                <w:szCs w:val="20"/>
              </w:rPr>
              <w:t>Work in partnership with Auckland City Missions Services to ensure ongoing tenancy sustainment and maintain supportive housing model</w:t>
            </w:r>
          </w:p>
          <w:p w14:paraId="3E68E752" w14:textId="1826A580" w:rsidR="003031FD" w:rsidRPr="00383C23" w:rsidRDefault="003031FD" w:rsidP="003031FD">
            <w:pPr>
              <w:pStyle w:val="ListParagraph"/>
              <w:numPr>
                <w:ilvl w:val="0"/>
                <w:numId w:val="16"/>
              </w:numPr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Build and maintain relationships with landlords and property managers</w:t>
            </w:r>
          </w:p>
          <w:p w14:paraId="3FA9C6E2" w14:textId="77777777" w:rsidR="003031FD" w:rsidRPr="00383C23" w:rsidRDefault="003031FD" w:rsidP="003031FD">
            <w:pPr>
              <w:pStyle w:val="ListParagraph"/>
              <w:numPr>
                <w:ilvl w:val="0"/>
                <w:numId w:val="16"/>
              </w:numPr>
              <w:rPr>
                <w:rFonts w:ascii="IBM Plex Sans" w:eastAsiaTheme="minorEastAsia" w:hAnsi="IBM Plex Sans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 xml:space="preserve">Liaise with contractors and service providers to ensure services meet </w:t>
            </w:r>
          </w:p>
          <w:p w14:paraId="5A3A0422" w14:textId="77777777" w:rsidR="003031FD" w:rsidRDefault="003031FD" w:rsidP="00A45D6B">
            <w:pPr>
              <w:pStyle w:val="ListParagraph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required standards</w:t>
            </w:r>
          </w:p>
          <w:p w14:paraId="6A4C41FA" w14:textId="080F9E56" w:rsidR="00CB7419" w:rsidRPr="00A45D6B" w:rsidRDefault="00CB7419" w:rsidP="00A45D6B">
            <w:pPr>
              <w:pStyle w:val="ListParagraph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</w:p>
        </w:tc>
      </w:tr>
      <w:tr w:rsidR="00FA3729" w:rsidRPr="00383C23" w14:paraId="2082225C" w14:textId="77777777" w:rsidTr="00A45D6B">
        <w:tc>
          <w:tcPr>
            <w:tcW w:w="3686" w:type="dxa"/>
          </w:tcPr>
          <w:p w14:paraId="201810C4" w14:textId="11CFF361" w:rsidR="00FA3729" w:rsidRPr="00383C23" w:rsidRDefault="009F14EB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lastRenderedPageBreak/>
              <w:t>Operational Support</w:t>
            </w:r>
          </w:p>
        </w:tc>
        <w:tc>
          <w:tcPr>
            <w:tcW w:w="5953" w:type="dxa"/>
          </w:tcPr>
          <w:p w14:paraId="575B97B8" w14:textId="77777777" w:rsidR="00FA3729" w:rsidRPr="00383C23" w:rsidRDefault="00FA3729" w:rsidP="00FA3729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  <w:t xml:space="preserve">Prepare relevant documentation and represent ACMHL at the Tenancy Tribunal as required. </w:t>
            </w:r>
          </w:p>
          <w:p w14:paraId="6FD8553E" w14:textId="77777777" w:rsidR="00FA3729" w:rsidRPr="00383C23" w:rsidRDefault="00FA3729" w:rsidP="00FA3729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  <w:t xml:space="preserve">Regularly review debtors, taking corrective action as required. </w:t>
            </w:r>
          </w:p>
          <w:p w14:paraId="31EAE690" w14:textId="77777777" w:rsidR="00FA3729" w:rsidRPr="00383C23" w:rsidRDefault="00FA3729" w:rsidP="00FA3729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  <w:t xml:space="preserve">Proactively assist in the continuous improvement of tenancy management services.  </w:t>
            </w:r>
          </w:p>
          <w:p w14:paraId="7A824467" w14:textId="77777777" w:rsidR="00FA3729" w:rsidRPr="00A45D6B" w:rsidRDefault="00FA3729" w:rsidP="00FA3729">
            <w:pPr>
              <w:pStyle w:val="ListParagraph"/>
              <w:numPr>
                <w:ilvl w:val="0"/>
                <w:numId w:val="16"/>
              </w:numPr>
              <w:ind w:right="9"/>
              <w:rPr>
                <w:rFonts w:ascii="IBM Plex Sans" w:eastAsia="Calibri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  <w:t>Assist from time to time in other duties as requested by the General Manager.</w:t>
            </w:r>
          </w:p>
          <w:p w14:paraId="5647EDFF" w14:textId="783DEB8C" w:rsidR="00A45D6B" w:rsidRPr="00383C23" w:rsidRDefault="00A45D6B" w:rsidP="00A45D6B">
            <w:pPr>
              <w:pStyle w:val="ListParagraph"/>
              <w:ind w:right="9"/>
              <w:rPr>
                <w:rFonts w:ascii="IBM Plex Sans" w:eastAsia="Calibri" w:hAnsi="IBM Plex Sans" w:cs="Calibri"/>
                <w:sz w:val="20"/>
                <w:szCs w:val="20"/>
              </w:rPr>
            </w:pPr>
          </w:p>
        </w:tc>
      </w:tr>
      <w:tr w:rsidR="002573FA" w:rsidRPr="00383C23" w14:paraId="3A713B8B" w14:textId="77777777" w:rsidTr="00A45D6B">
        <w:tc>
          <w:tcPr>
            <w:tcW w:w="3686" w:type="dxa"/>
          </w:tcPr>
          <w:p w14:paraId="01F34B67" w14:textId="2E260B74" w:rsidR="002573FA" w:rsidRPr="00383C23" w:rsidRDefault="00BE1570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Health and Safe</w:t>
            </w:r>
            <w:r w:rsidR="005045DF"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ty</w:t>
            </w:r>
          </w:p>
        </w:tc>
        <w:tc>
          <w:tcPr>
            <w:tcW w:w="5953" w:type="dxa"/>
          </w:tcPr>
          <w:p w14:paraId="2C8D6C3C" w14:textId="77777777" w:rsidR="00BE1570" w:rsidRPr="00383C23" w:rsidRDefault="00BE1570" w:rsidP="00BE1570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Working in a safe manner and being aware of all personal safety requirements of the role and processes </w:t>
            </w:r>
          </w:p>
          <w:p w14:paraId="487E07F2" w14:textId="77777777" w:rsidR="00BE1570" w:rsidRPr="00383C23" w:rsidRDefault="00BE1570" w:rsidP="00BE1570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Report incidents and any risk as per ACMHL policy</w:t>
            </w:r>
          </w:p>
          <w:p w14:paraId="6DA051DB" w14:textId="77777777" w:rsidR="002573FA" w:rsidRPr="00383C23" w:rsidRDefault="002573FA" w:rsidP="00BE1570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IBM Plex Sans" w:eastAsiaTheme="minorEastAsia" w:hAnsi="IBM Plex Sans" w:cstheme="minorHAnsi"/>
                <w:color w:val="1F2023"/>
                <w:sz w:val="20"/>
                <w:szCs w:val="20"/>
              </w:rPr>
            </w:pPr>
          </w:p>
        </w:tc>
      </w:tr>
      <w:tr w:rsidR="00BE1570" w:rsidRPr="00383C23" w14:paraId="08EB8A33" w14:textId="77777777" w:rsidTr="00A45D6B">
        <w:tc>
          <w:tcPr>
            <w:tcW w:w="3686" w:type="dxa"/>
          </w:tcPr>
          <w:p w14:paraId="4B55220F" w14:textId="10B28B5E" w:rsidR="00BE1570" w:rsidRPr="00383C23" w:rsidRDefault="005045DF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Be part of the ACMHL Team</w:t>
            </w:r>
          </w:p>
        </w:tc>
        <w:tc>
          <w:tcPr>
            <w:tcW w:w="5953" w:type="dxa"/>
          </w:tcPr>
          <w:p w14:paraId="0205A244" w14:textId="77777777" w:rsidR="005045DF" w:rsidRPr="00383C23" w:rsidRDefault="005045DF" w:rsidP="005045DF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Comply with all legislative and regulatory requirements and report any breaches as soon as they become known. </w:t>
            </w:r>
          </w:p>
          <w:p w14:paraId="2D2ECEE4" w14:textId="77777777" w:rsidR="005045DF" w:rsidRPr="00383C23" w:rsidRDefault="005045DF" w:rsidP="005045DF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Adhere to all operating procedures, policies, guidelines and standards of integrity and conduct. </w:t>
            </w:r>
          </w:p>
          <w:p w14:paraId="77C3BF8B" w14:textId="77777777" w:rsidR="005045DF" w:rsidRPr="00383C23" w:rsidRDefault="005045DF" w:rsidP="005045DF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Demonstrate a commitment to and respect for the Treaty of Waitangi</w:t>
            </w:r>
          </w:p>
          <w:p w14:paraId="1C0863DB" w14:textId="77777777" w:rsidR="00BE1570" w:rsidRPr="00383C23" w:rsidRDefault="00BE1570" w:rsidP="00AF7205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</w:p>
        </w:tc>
      </w:tr>
      <w:tr w:rsidR="00AF7205" w:rsidRPr="00383C23" w14:paraId="567024D2" w14:textId="77777777" w:rsidTr="00A45D6B">
        <w:tc>
          <w:tcPr>
            <w:tcW w:w="9639" w:type="dxa"/>
            <w:gridSpan w:val="2"/>
          </w:tcPr>
          <w:p w14:paraId="0D677E97" w14:textId="2BFCF84E" w:rsidR="00AF7205" w:rsidRPr="00CB7419" w:rsidRDefault="00AF7205" w:rsidP="00AF72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b/>
                <w:bCs/>
              </w:rPr>
            </w:pPr>
            <w:r w:rsidRPr="00CB7419">
              <w:rPr>
                <w:rFonts w:ascii="IBM Plex Sans" w:eastAsiaTheme="minorEastAsia" w:hAnsi="IBM Plex Sans" w:cs="Calibri"/>
                <w:b/>
                <w:bCs/>
              </w:rPr>
              <w:t>Qualifications and Experience</w:t>
            </w:r>
          </w:p>
        </w:tc>
      </w:tr>
      <w:tr w:rsidR="00AF7205" w:rsidRPr="00383C23" w14:paraId="492D5899" w14:textId="77777777" w:rsidTr="00A45D6B">
        <w:tc>
          <w:tcPr>
            <w:tcW w:w="3686" w:type="dxa"/>
          </w:tcPr>
          <w:p w14:paraId="18BB03A6" w14:textId="410F5E34" w:rsidR="00AF7205" w:rsidRPr="00383C23" w:rsidRDefault="00AF7205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Qualifications</w:t>
            </w:r>
          </w:p>
        </w:tc>
        <w:tc>
          <w:tcPr>
            <w:tcW w:w="5953" w:type="dxa"/>
          </w:tcPr>
          <w:p w14:paraId="39D03706" w14:textId="77777777" w:rsidR="00AF7205" w:rsidRPr="00383C23" w:rsidRDefault="00A02439" w:rsidP="005045DF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Qualification in property</w:t>
            </w:r>
            <w:r w:rsidR="00826EFD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 or business</w:t>
            </w:r>
            <w:r w:rsidR="006568F7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-</w:t>
            </w:r>
            <w:r w:rsidR="00826EFD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related field</w:t>
            </w:r>
          </w:p>
          <w:p w14:paraId="50F2FA78" w14:textId="77777777" w:rsidR="006568F7" w:rsidRPr="00383C23" w:rsidRDefault="006568F7" w:rsidP="006568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360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AND </w:t>
            </w:r>
          </w:p>
          <w:p w14:paraId="0E2A517A" w14:textId="2D580CF6" w:rsidR="006568F7" w:rsidRPr="00383C23" w:rsidRDefault="005D2DCB" w:rsidP="006568F7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At least </w:t>
            </w:r>
            <w:r w:rsidR="00F11429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one</w:t>
            </w: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 years’ experience in tenancy management, </w:t>
            </w:r>
            <w:r w:rsidR="009F71AF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ideally in a social housing context</w:t>
            </w:r>
          </w:p>
          <w:p w14:paraId="43B37ADB" w14:textId="77777777" w:rsidR="005D2DCB" w:rsidRPr="00383C23" w:rsidRDefault="005D2DCB" w:rsidP="005D2D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360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OR</w:t>
            </w:r>
          </w:p>
          <w:p w14:paraId="6AAD30AA" w14:textId="77777777" w:rsidR="005D2DCB" w:rsidRPr="00383C23" w:rsidRDefault="0053589C" w:rsidP="0053589C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 xml:space="preserve">At least </w:t>
            </w:r>
            <w:r w:rsidR="00F11429"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three years’ experience in tenancy management, ideally in a social housing context</w:t>
            </w:r>
          </w:p>
          <w:p w14:paraId="66210B35" w14:textId="77777777" w:rsidR="009F71AF" w:rsidRPr="00383C23" w:rsidRDefault="009F71AF" w:rsidP="009F71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</w:p>
          <w:p w14:paraId="5987C8C0" w14:textId="55169FD8" w:rsidR="009F71AF" w:rsidRPr="00383C23" w:rsidRDefault="009F71AF" w:rsidP="009F71AF">
            <w:pPr>
              <w:pStyle w:val="ListParagraph"/>
              <w:widowControl w:val="0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IBM Plex Sans" w:eastAsiaTheme="minorEastAsia" w:hAnsi="IBM Plex Sans" w:cs="Calibr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="Calibri"/>
                <w:sz w:val="20"/>
                <w:szCs w:val="20"/>
              </w:rPr>
              <w:t>Full or restricted NZ Drivers Licence</w:t>
            </w:r>
          </w:p>
        </w:tc>
      </w:tr>
      <w:tr w:rsidR="009F71AF" w:rsidRPr="00383C23" w14:paraId="46C62BC1" w14:textId="77777777" w:rsidTr="00A45D6B">
        <w:tc>
          <w:tcPr>
            <w:tcW w:w="3686" w:type="dxa"/>
          </w:tcPr>
          <w:p w14:paraId="618576A9" w14:textId="5BE30A42" w:rsidR="009F71AF" w:rsidRPr="00383C23" w:rsidRDefault="009F71AF" w:rsidP="00EE3C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</w:pPr>
            <w:r w:rsidRPr="00383C23">
              <w:rPr>
                <w:rFonts w:ascii="IBM Plex Sans" w:eastAsiaTheme="minorEastAsia" w:hAnsi="IBM Plex Sans" w:cs="Calibri"/>
                <w:b/>
                <w:bCs/>
                <w:sz w:val="20"/>
                <w:szCs w:val="20"/>
                <w:lang w:eastAsia="en-NZ"/>
              </w:rPr>
              <w:t>Skills and Experience</w:t>
            </w:r>
          </w:p>
        </w:tc>
        <w:tc>
          <w:tcPr>
            <w:tcW w:w="5953" w:type="dxa"/>
          </w:tcPr>
          <w:p w14:paraId="78628AA8" w14:textId="556A6C55" w:rsidR="00595834" w:rsidRPr="00383C23" w:rsidRDefault="00595834" w:rsidP="00383C23">
            <w:pPr>
              <w:pStyle w:val="ListParagraph"/>
              <w:numPr>
                <w:ilvl w:val="0"/>
                <w:numId w:val="25"/>
              </w:numPr>
              <w:spacing w:line="242" w:lineRule="auto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Understanding of the Residential Tenancies Act and how it applies to tenancy management</w:t>
            </w:r>
          </w:p>
          <w:p w14:paraId="02194B08" w14:textId="77777777" w:rsidR="00383C23" w:rsidRPr="00383C23" w:rsidRDefault="00383C23" w:rsidP="00383C23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7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 xml:space="preserve">Experience of tenancy management information systems </w:t>
            </w:r>
          </w:p>
          <w:p w14:paraId="6ECAE047" w14:textId="1671EEAE" w:rsidR="00383C23" w:rsidRPr="00383C23" w:rsidRDefault="00383C23" w:rsidP="00B80C56">
            <w:pPr>
              <w:pStyle w:val="ListParagraph"/>
              <w:numPr>
                <w:ilvl w:val="0"/>
                <w:numId w:val="25"/>
              </w:numPr>
              <w:spacing w:line="242" w:lineRule="auto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theme="minorHAnsi"/>
                <w:sz w:val="20"/>
                <w:szCs w:val="20"/>
              </w:rPr>
              <w:t xml:space="preserve">Proficient user of Microsoft Office products and ability to learn new systems. </w:t>
            </w:r>
          </w:p>
          <w:p w14:paraId="4C782A34" w14:textId="79581D99" w:rsidR="005C4A3D" w:rsidRPr="00383C23" w:rsidRDefault="007556F0" w:rsidP="00383C23">
            <w:pPr>
              <w:pStyle w:val="ListParagraph"/>
              <w:numPr>
                <w:ilvl w:val="0"/>
                <w:numId w:val="25"/>
              </w:numPr>
              <w:spacing w:line="242" w:lineRule="auto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Excellent c</w:t>
            </w:r>
            <w:r w:rsidR="005C4A3D"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ommunication</w:t>
            </w:r>
            <w:r w:rsidR="005C4A3D"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="005C4A3D"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(written</w:t>
            </w:r>
            <w:r w:rsidR="005C4A3D"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="005C4A3D"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and</w:t>
            </w:r>
            <w:r w:rsidR="005C4A3D"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="005C4A3D"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oral)</w:t>
            </w:r>
            <w:r w:rsidR="005C4A3D"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="005C4A3D"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skills.</w:t>
            </w:r>
          </w:p>
          <w:p w14:paraId="0AFA32BC" w14:textId="2D238043" w:rsidR="0068552D" w:rsidRPr="00383C23" w:rsidRDefault="00383C23" w:rsidP="00383C23">
            <w:pPr>
              <w:pStyle w:val="ListParagraph"/>
              <w:numPr>
                <w:ilvl w:val="0"/>
                <w:numId w:val="25"/>
              </w:numPr>
              <w:spacing w:line="242" w:lineRule="auto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Proficient numerical / financial skills</w:t>
            </w:r>
          </w:p>
          <w:p w14:paraId="1C636593" w14:textId="77777777" w:rsidR="00093CE6" w:rsidRPr="00383C23" w:rsidRDefault="00093CE6" w:rsidP="00383C23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ind w:right="224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Excellent customer service skills with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the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ability</w:t>
            </w:r>
            <w:r w:rsidRPr="00383C23">
              <w:rPr>
                <w:rFonts w:ascii="IBM Plex Sans" w:eastAsiaTheme="minorEastAsia" w:hAnsi="IBM Plex Sans" w:cstheme="minorHAnsi"/>
                <w:spacing w:val="-8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to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resolve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conflicts</w:t>
            </w:r>
          </w:p>
          <w:p w14:paraId="0DA209EC" w14:textId="4C70856E" w:rsidR="00093CE6" w:rsidRPr="00383C23" w:rsidRDefault="0068552D" w:rsidP="00C15612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right="377"/>
              <w:rPr>
                <w:rFonts w:ascii="IBM Plex Sans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Self-starter</w:t>
            </w:r>
            <w:r w:rsidRPr="00383C23">
              <w:rPr>
                <w:rFonts w:ascii="IBM Plex Sans" w:eastAsiaTheme="minorEastAsia" w:hAnsi="IBM Plex Sans" w:cstheme="minorHAnsi"/>
                <w:spacing w:val="-11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with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strong</w:t>
            </w:r>
            <w:r w:rsidRPr="00383C23">
              <w:rPr>
                <w:rFonts w:ascii="IBM Plex Sans" w:eastAsiaTheme="minorEastAsia" w:hAnsi="IBM Plex Sans" w:cstheme="minorHAnsi"/>
                <w:spacing w:val="-11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ability</w:t>
            </w:r>
            <w:r w:rsidRPr="00383C23">
              <w:rPr>
                <w:rFonts w:ascii="IBM Plex Sans" w:eastAsiaTheme="minorEastAsia" w:hAnsi="IBM Plex Sans" w:cstheme="minorHAnsi"/>
                <w:spacing w:val="-9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to work effectively in a team</w:t>
            </w:r>
          </w:p>
          <w:p w14:paraId="4D013B22" w14:textId="307B6F7A" w:rsidR="005C4A3D" w:rsidRPr="00383C23" w:rsidRDefault="005C4A3D" w:rsidP="00383C23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IBM Plex Sans" w:eastAsiaTheme="minorEastAsia" w:hAnsi="IBM Plex Sans" w:cstheme="minorHAnsi"/>
                <w:spacing w:val="-2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Reputation</w:t>
            </w:r>
            <w:r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for</w:t>
            </w:r>
            <w:r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personal</w:t>
            </w:r>
            <w:r w:rsidRPr="00383C23">
              <w:rPr>
                <w:rFonts w:ascii="IBM Plex Sans" w:eastAsiaTheme="minorEastAsia" w:hAnsi="IBM Plex Sans" w:cstheme="minorHAnsi"/>
                <w:spacing w:val="-8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integrity</w:t>
            </w:r>
            <w:r w:rsidRPr="00383C23">
              <w:rPr>
                <w:rFonts w:ascii="IBM Plex Sans" w:eastAsiaTheme="minorEastAsia" w:hAnsi="IBM Plex Sans" w:cstheme="minorHAnsi"/>
                <w:spacing w:val="-10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 xml:space="preserve">and </w:t>
            </w:r>
            <w:r w:rsidRPr="00383C23">
              <w:rPr>
                <w:rFonts w:ascii="IBM Plex Sans" w:eastAsiaTheme="minorEastAsia" w:hAnsi="IBM Plex Sans" w:cstheme="minorHAnsi"/>
                <w:spacing w:val="-2"/>
                <w:sz w:val="20"/>
                <w:szCs w:val="20"/>
              </w:rPr>
              <w:t>reliability.</w:t>
            </w:r>
          </w:p>
          <w:p w14:paraId="4346701A" w14:textId="63029390" w:rsidR="005C4A3D" w:rsidRPr="00383C23" w:rsidRDefault="005C4A3D" w:rsidP="00383C23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IBM Plex Sans" w:eastAsiaTheme="minorEastAsia" w:hAnsi="IBM Plex Sans" w:cstheme="minorHAnsi"/>
                <w:sz w:val="20"/>
                <w:szCs w:val="20"/>
              </w:rPr>
            </w:pP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Commitment to embodying the principles</w:t>
            </w:r>
            <w:r w:rsidRPr="00383C23">
              <w:rPr>
                <w:rFonts w:ascii="IBM Plex Sans" w:eastAsiaTheme="minorEastAsia" w:hAnsi="IBM Plex Sans" w:cstheme="minorHAnsi"/>
                <w:spacing w:val="-6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of</w:t>
            </w:r>
            <w:r w:rsidRPr="00383C23">
              <w:rPr>
                <w:rFonts w:ascii="IBM Plex Sans" w:eastAsiaTheme="minorEastAsia" w:hAnsi="IBM Plex Sans" w:cstheme="minorHAnsi"/>
                <w:spacing w:val="-8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the</w:t>
            </w:r>
            <w:r w:rsidRPr="00383C23">
              <w:rPr>
                <w:rFonts w:ascii="IBM Plex Sans" w:eastAsiaTheme="minorEastAsia" w:hAnsi="IBM Plex Sans" w:cstheme="minorHAnsi"/>
                <w:spacing w:val="-7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Treaty</w:t>
            </w:r>
            <w:r w:rsidRPr="00383C23">
              <w:rPr>
                <w:rFonts w:ascii="IBM Plex Sans" w:eastAsiaTheme="minorEastAsia" w:hAnsi="IBM Plex Sans" w:cstheme="minorHAnsi"/>
                <w:spacing w:val="-6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of</w:t>
            </w:r>
            <w:r w:rsidRPr="00383C23">
              <w:rPr>
                <w:rFonts w:ascii="IBM Plex Sans" w:eastAsiaTheme="minorEastAsia" w:hAnsi="IBM Plex Sans" w:cstheme="minorHAnsi"/>
                <w:spacing w:val="-8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Waitangi</w:t>
            </w:r>
            <w:r w:rsidRPr="00383C23">
              <w:rPr>
                <w:rFonts w:ascii="IBM Plex Sans" w:eastAsiaTheme="minorEastAsia" w:hAnsi="IBM Plex Sans" w:cstheme="minorHAnsi"/>
                <w:spacing w:val="-7"/>
                <w:sz w:val="20"/>
                <w:szCs w:val="20"/>
              </w:rPr>
              <w:t xml:space="preserve"> </w:t>
            </w:r>
            <w:r w:rsidRPr="00383C23">
              <w:rPr>
                <w:rFonts w:ascii="IBM Plex Sans" w:eastAsiaTheme="minorEastAsia" w:hAnsi="IBM Plex Sans" w:cstheme="minorHAnsi"/>
                <w:sz w:val="20"/>
                <w:szCs w:val="20"/>
              </w:rPr>
              <w:t>in organisational practice.</w:t>
            </w:r>
          </w:p>
          <w:p w14:paraId="3B8B2FE1" w14:textId="77777777" w:rsidR="004F62EA" w:rsidRDefault="00093CE6" w:rsidP="00383C23">
            <w:pPr>
              <w:pStyle w:val="ListParagraph"/>
              <w:numPr>
                <w:ilvl w:val="0"/>
                <w:numId w:val="25"/>
              </w:numPr>
              <w:spacing w:after="1" w:line="241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  <w:r w:rsidRPr="00383C23"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  <w:t>Experience working with vulnerable communities, homelessness or addictions or trauma.</w:t>
            </w:r>
          </w:p>
          <w:p w14:paraId="58260CCE" w14:textId="5FD2F844" w:rsidR="00A45D6B" w:rsidRPr="00383C23" w:rsidRDefault="00A45D6B" w:rsidP="00A45D6B">
            <w:pPr>
              <w:pStyle w:val="ListParagraph"/>
              <w:spacing w:after="1" w:line="241" w:lineRule="auto"/>
              <w:rPr>
                <w:rFonts w:ascii="IBM Plex Sans" w:eastAsia="Calibri" w:hAnsi="IBM Plex Sans" w:cs="Calibri"/>
                <w:color w:val="000000"/>
                <w:sz w:val="20"/>
                <w:szCs w:val="20"/>
              </w:rPr>
            </w:pPr>
          </w:p>
        </w:tc>
      </w:tr>
    </w:tbl>
    <w:p w14:paraId="588FEEB4" w14:textId="77777777" w:rsidR="00714459" w:rsidRPr="00383C23" w:rsidRDefault="00714459" w:rsidP="00714459">
      <w:pPr>
        <w:rPr>
          <w:rFonts w:ascii="IBM Plex Sans" w:hAnsi="IBM Plex Sans"/>
          <w:sz w:val="20"/>
          <w:szCs w:val="20"/>
        </w:rPr>
      </w:pPr>
    </w:p>
    <w:p w14:paraId="0BBAEF4C" w14:textId="0AF0BDB3" w:rsidR="001A629E" w:rsidRPr="00383C23" w:rsidRDefault="001A629E">
      <w:pPr>
        <w:rPr>
          <w:rFonts w:ascii="IBM Plex Sans" w:hAnsi="IBM Plex Sans"/>
          <w:sz w:val="20"/>
          <w:szCs w:val="20"/>
        </w:rPr>
      </w:pPr>
    </w:p>
    <w:sectPr w:rsidR="001A629E" w:rsidRPr="00383C23" w:rsidSect="007E1D4B">
      <w:footerReference w:type="default" r:id="rId9"/>
      <w:pgSz w:w="11906" w:h="16838"/>
      <w:pgMar w:top="1134" w:right="1440" w:bottom="8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8D1D" w14:textId="77777777" w:rsidR="002820CF" w:rsidRDefault="002820CF" w:rsidP="00231C2E">
      <w:pPr>
        <w:spacing w:after="0" w:line="240" w:lineRule="auto"/>
      </w:pPr>
      <w:r>
        <w:separator/>
      </w:r>
    </w:p>
  </w:endnote>
  <w:endnote w:type="continuationSeparator" w:id="0">
    <w:p w14:paraId="19173D1A" w14:textId="77777777" w:rsidR="002820CF" w:rsidRDefault="002820CF" w:rsidP="0023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0B13" w14:textId="158E1AC9" w:rsidR="002A1C2D" w:rsidRDefault="002A1C2D">
    <w:pPr>
      <w:pStyle w:val="Footer"/>
    </w:pPr>
    <w:r>
      <w:t xml:space="preserve">JD – Tenancy Manager </w:t>
    </w:r>
    <w:r w:rsidR="00CB7419">
      <w:t>– December 2022</w:t>
    </w:r>
  </w:p>
  <w:p w14:paraId="6A6D6853" w14:textId="77777777" w:rsidR="002A1C2D" w:rsidRDefault="002A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8784" w14:textId="77777777" w:rsidR="002820CF" w:rsidRDefault="002820CF" w:rsidP="00231C2E">
      <w:pPr>
        <w:spacing w:after="0" w:line="240" w:lineRule="auto"/>
      </w:pPr>
      <w:r>
        <w:separator/>
      </w:r>
    </w:p>
  </w:footnote>
  <w:footnote w:type="continuationSeparator" w:id="0">
    <w:p w14:paraId="1D13A2DE" w14:textId="77777777" w:rsidR="002820CF" w:rsidRDefault="002820CF" w:rsidP="0023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95" w:hanging="360"/>
      </w:pPr>
    </w:lvl>
    <w:lvl w:ilvl="2">
      <w:numFmt w:val="bullet"/>
      <w:lvlText w:val="•"/>
      <w:lvlJc w:val="left"/>
      <w:pPr>
        <w:ind w:left="1131" w:hanging="360"/>
      </w:pPr>
    </w:lvl>
    <w:lvl w:ilvl="3">
      <w:numFmt w:val="bullet"/>
      <w:lvlText w:val="•"/>
      <w:lvlJc w:val="left"/>
      <w:pPr>
        <w:ind w:left="1467" w:hanging="360"/>
      </w:pPr>
    </w:lvl>
    <w:lvl w:ilvl="4">
      <w:numFmt w:val="bullet"/>
      <w:lvlText w:val="•"/>
      <w:lvlJc w:val="left"/>
      <w:pPr>
        <w:ind w:left="1803" w:hanging="360"/>
      </w:pPr>
    </w:lvl>
    <w:lvl w:ilvl="5">
      <w:numFmt w:val="bullet"/>
      <w:lvlText w:val="•"/>
      <w:lvlJc w:val="left"/>
      <w:pPr>
        <w:ind w:left="2139" w:hanging="360"/>
      </w:pPr>
    </w:lvl>
    <w:lvl w:ilvl="6">
      <w:numFmt w:val="bullet"/>
      <w:lvlText w:val="•"/>
      <w:lvlJc w:val="left"/>
      <w:pPr>
        <w:ind w:left="2475" w:hanging="360"/>
      </w:pPr>
    </w:lvl>
    <w:lvl w:ilvl="7">
      <w:numFmt w:val="bullet"/>
      <w:lvlText w:val="•"/>
      <w:lvlJc w:val="left"/>
      <w:pPr>
        <w:ind w:left="2811" w:hanging="360"/>
      </w:pPr>
    </w:lvl>
    <w:lvl w:ilvl="8">
      <w:numFmt w:val="bullet"/>
      <w:lvlText w:val="•"/>
      <w:lvlJc w:val="left"/>
      <w:pPr>
        <w:ind w:left="3147" w:hanging="360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2" w:hanging="360"/>
      </w:pPr>
    </w:lvl>
    <w:lvl w:ilvl="2">
      <w:numFmt w:val="bullet"/>
      <w:lvlText w:val="•"/>
      <w:lvlJc w:val="left"/>
      <w:pPr>
        <w:ind w:left="1064" w:hanging="360"/>
      </w:pPr>
    </w:lvl>
    <w:lvl w:ilvl="3">
      <w:numFmt w:val="bullet"/>
      <w:lvlText w:val="•"/>
      <w:lvlJc w:val="left"/>
      <w:pPr>
        <w:ind w:left="1366" w:hanging="360"/>
      </w:pPr>
    </w:lvl>
    <w:lvl w:ilvl="4">
      <w:numFmt w:val="bullet"/>
      <w:lvlText w:val="•"/>
      <w:lvlJc w:val="left"/>
      <w:pPr>
        <w:ind w:left="1669" w:hanging="360"/>
      </w:pPr>
    </w:lvl>
    <w:lvl w:ilvl="5">
      <w:numFmt w:val="bullet"/>
      <w:lvlText w:val="•"/>
      <w:lvlJc w:val="left"/>
      <w:pPr>
        <w:ind w:left="1971" w:hanging="360"/>
      </w:pPr>
    </w:lvl>
    <w:lvl w:ilvl="6">
      <w:numFmt w:val="bullet"/>
      <w:lvlText w:val="•"/>
      <w:lvlJc w:val="left"/>
      <w:pPr>
        <w:ind w:left="2273" w:hanging="360"/>
      </w:pPr>
    </w:lvl>
    <w:lvl w:ilvl="7">
      <w:numFmt w:val="bullet"/>
      <w:lvlText w:val="•"/>
      <w:lvlJc w:val="left"/>
      <w:pPr>
        <w:ind w:left="2576" w:hanging="360"/>
      </w:pPr>
    </w:lvl>
    <w:lvl w:ilvl="8">
      <w:numFmt w:val="bullet"/>
      <w:lvlText w:val="•"/>
      <w:lvlJc w:val="left"/>
      <w:pPr>
        <w:ind w:left="2878" w:hanging="360"/>
      </w:pPr>
    </w:lvl>
  </w:abstractNum>
  <w:abstractNum w:abstractNumId="2" w15:restartNumberingAfterBreak="0">
    <w:nsid w:val="03F17628"/>
    <w:multiLevelType w:val="hybridMultilevel"/>
    <w:tmpl w:val="515EF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F9A"/>
    <w:multiLevelType w:val="hybridMultilevel"/>
    <w:tmpl w:val="08260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D7950"/>
    <w:multiLevelType w:val="hybridMultilevel"/>
    <w:tmpl w:val="11347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0CB"/>
    <w:multiLevelType w:val="hybridMultilevel"/>
    <w:tmpl w:val="3146A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A4"/>
    <w:multiLevelType w:val="hybridMultilevel"/>
    <w:tmpl w:val="F9EEC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0691"/>
    <w:multiLevelType w:val="hybridMultilevel"/>
    <w:tmpl w:val="40E26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7A3E"/>
    <w:multiLevelType w:val="hybridMultilevel"/>
    <w:tmpl w:val="B9B87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6FBF"/>
    <w:multiLevelType w:val="hybridMultilevel"/>
    <w:tmpl w:val="25360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0D9C"/>
    <w:multiLevelType w:val="hybridMultilevel"/>
    <w:tmpl w:val="7B7E2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17832"/>
    <w:multiLevelType w:val="hybridMultilevel"/>
    <w:tmpl w:val="A53ED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4BBC"/>
    <w:multiLevelType w:val="hybridMultilevel"/>
    <w:tmpl w:val="2FD09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B2BFA"/>
    <w:multiLevelType w:val="hybridMultilevel"/>
    <w:tmpl w:val="0B6A1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6107"/>
    <w:multiLevelType w:val="hybridMultilevel"/>
    <w:tmpl w:val="D40EA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A0C88"/>
    <w:multiLevelType w:val="hybridMultilevel"/>
    <w:tmpl w:val="2F505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3351"/>
    <w:multiLevelType w:val="hybridMultilevel"/>
    <w:tmpl w:val="D6E0DB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1B35"/>
    <w:multiLevelType w:val="hybridMultilevel"/>
    <w:tmpl w:val="396EA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95063"/>
    <w:multiLevelType w:val="hybridMultilevel"/>
    <w:tmpl w:val="42063C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32F7A"/>
    <w:multiLevelType w:val="hybridMultilevel"/>
    <w:tmpl w:val="27C4F2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7C7849"/>
    <w:multiLevelType w:val="hybridMultilevel"/>
    <w:tmpl w:val="BB44BD86"/>
    <w:lvl w:ilvl="0" w:tplc="6D6ADC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EA1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E5F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8E34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ABD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E47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2E4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AFFF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CFF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3415E9"/>
    <w:multiLevelType w:val="hybridMultilevel"/>
    <w:tmpl w:val="6FDE0C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2" w15:restartNumberingAfterBreak="0">
    <w:nsid w:val="6F2B0E2E"/>
    <w:multiLevelType w:val="hybridMultilevel"/>
    <w:tmpl w:val="B394EB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B0838"/>
    <w:multiLevelType w:val="hybridMultilevel"/>
    <w:tmpl w:val="D8D853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108A"/>
    <w:multiLevelType w:val="hybridMultilevel"/>
    <w:tmpl w:val="5EB268F8"/>
    <w:lvl w:ilvl="0" w:tplc="1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303274299">
    <w:abstractNumId w:val="2"/>
  </w:num>
  <w:num w:numId="2" w16cid:durableId="1867594939">
    <w:abstractNumId w:val="4"/>
  </w:num>
  <w:num w:numId="3" w16cid:durableId="68844337">
    <w:abstractNumId w:val="9"/>
  </w:num>
  <w:num w:numId="4" w16cid:durableId="748499756">
    <w:abstractNumId w:val="10"/>
  </w:num>
  <w:num w:numId="5" w16cid:durableId="363287220">
    <w:abstractNumId w:val="12"/>
  </w:num>
  <w:num w:numId="6" w16cid:durableId="1912543333">
    <w:abstractNumId w:val="21"/>
  </w:num>
  <w:num w:numId="7" w16cid:durableId="1232890591">
    <w:abstractNumId w:val="7"/>
  </w:num>
  <w:num w:numId="8" w16cid:durableId="704912191">
    <w:abstractNumId w:val="16"/>
  </w:num>
  <w:num w:numId="9" w16cid:durableId="199517745">
    <w:abstractNumId w:val="11"/>
  </w:num>
  <w:num w:numId="10" w16cid:durableId="2007171329">
    <w:abstractNumId w:val="3"/>
  </w:num>
  <w:num w:numId="11" w16cid:durableId="341472338">
    <w:abstractNumId w:val="19"/>
  </w:num>
  <w:num w:numId="12" w16cid:durableId="1221865746">
    <w:abstractNumId w:val="6"/>
  </w:num>
  <w:num w:numId="13" w16cid:durableId="1706979981">
    <w:abstractNumId w:val="1"/>
  </w:num>
  <w:num w:numId="14" w16cid:durableId="388190862">
    <w:abstractNumId w:val="0"/>
  </w:num>
  <w:num w:numId="15" w16cid:durableId="2056195013">
    <w:abstractNumId w:val="20"/>
  </w:num>
  <w:num w:numId="16" w16cid:durableId="1548837433">
    <w:abstractNumId w:val="17"/>
  </w:num>
  <w:num w:numId="17" w16cid:durableId="1173423064">
    <w:abstractNumId w:val="18"/>
  </w:num>
  <w:num w:numId="18" w16cid:durableId="990670973">
    <w:abstractNumId w:val="24"/>
  </w:num>
  <w:num w:numId="19" w16cid:durableId="1438908813">
    <w:abstractNumId w:val="22"/>
  </w:num>
  <w:num w:numId="20" w16cid:durableId="2135361960">
    <w:abstractNumId w:val="15"/>
  </w:num>
  <w:num w:numId="21" w16cid:durableId="899442706">
    <w:abstractNumId w:val="8"/>
  </w:num>
  <w:num w:numId="22" w16cid:durableId="382100304">
    <w:abstractNumId w:val="13"/>
  </w:num>
  <w:num w:numId="23" w16cid:durableId="1932201424">
    <w:abstractNumId w:val="14"/>
  </w:num>
  <w:num w:numId="24" w16cid:durableId="2096391016">
    <w:abstractNumId w:val="5"/>
  </w:num>
  <w:num w:numId="25" w16cid:durableId="13615851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9E"/>
    <w:rsid w:val="000242DF"/>
    <w:rsid w:val="00024582"/>
    <w:rsid w:val="000272D6"/>
    <w:rsid w:val="00027A5C"/>
    <w:rsid w:val="00040C8C"/>
    <w:rsid w:val="00041D26"/>
    <w:rsid w:val="00042AC1"/>
    <w:rsid w:val="0005016D"/>
    <w:rsid w:val="00050C78"/>
    <w:rsid w:val="00051979"/>
    <w:rsid w:val="00053730"/>
    <w:rsid w:val="00060D6A"/>
    <w:rsid w:val="00061D9D"/>
    <w:rsid w:val="00085282"/>
    <w:rsid w:val="00092BFE"/>
    <w:rsid w:val="00093CE6"/>
    <w:rsid w:val="000950BE"/>
    <w:rsid w:val="0009687C"/>
    <w:rsid w:val="000C4389"/>
    <w:rsid w:val="000D4C20"/>
    <w:rsid w:val="000E2421"/>
    <w:rsid w:val="000E2D20"/>
    <w:rsid w:val="000E3C06"/>
    <w:rsid w:val="000E7D8E"/>
    <w:rsid w:val="00111DF9"/>
    <w:rsid w:val="00112E4A"/>
    <w:rsid w:val="0011349C"/>
    <w:rsid w:val="00126F91"/>
    <w:rsid w:val="00127EAD"/>
    <w:rsid w:val="0013582D"/>
    <w:rsid w:val="00140DC3"/>
    <w:rsid w:val="001601C2"/>
    <w:rsid w:val="00175CE8"/>
    <w:rsid w:val="00177D50"/>
    <w:rsid w:val="00195302"/>
    <w:rsid w:val="001A629E"/>
    <w:rsid w:val="001C158C"/>
    <w:rsid w:val="001D0552"/>
    <w:rsid w:val="001E15FF"/>
    <w:rsid w:val="00211704"/>
    <w:rsid w:val="002142E2"/>
    <w:rsid w:val="00223789"/>
    <w:rsid w:val="00231C2E"/>
    <w:rsid w:val="002502F3"/>
    <w:rsid w:val="002573FA"/>
    <w:rsid w:val="00261F5E"/>
    <w:rsid w:val="00266996"/>
    <w:rsid w:val="00267A1C"/>
    <w:rsid w:val="00271383"/>
    <w:rsid w:val="002727D0"/>
    <w:rsid w:val="002820CF"/>
    <w:rsid w:val="002828CD"/>
    <w:rsid w:val="0029246A"/>
    <w:rsid w:val="002A1C2D"/>
    <w:rsid w:val="002A7BDE"/>
    <w:rsid w:val="002C18FF"/>
    <w:rsid w:val="00300431"/>
    <w:rsid w:val="003031FD"/>
    <w:rsid w:val="0030526D"/>
    <w:rsid w:val="003159E7"/>
    <w:rsid w:val="0032293D"/>
    <w:rsid w:val="00332EC6"/>
    <w:rsid w:val="00345312"/>
    <w:rsid w:val="003540BE"/>
    <w:rsid w:val="00383C23"/>
    <w:rsid w:val="00386D95"/>
    <w:rsid w:val="00397011"/>
    <w:rsid w:val="003A6244"/>
    <w:rsid w:val="003C1461"/>
    <w:rsid w:val="003D54B1"/>
    <w:rsid w:val="003D6422"/>
    <w:rsid w:val="00400288"/>
    <w:rsid w:val="0041749A"/>
    <w:rsid w:val="00452DBB"/>
    <w:rsid w:val="00477A1A"/>
    <w:rsid w:val="00496476"/>
    <w:rsid w:val="004970EB"/>
    <w:rsid w:val="004C2664"/>
    <w:rsid w:val="004D5EDF"/>
    <w:rsid w:val="004F1D7B"/>
    <w:rsid w:val="004F62EA"/>
    <w:rsid w:val="00500CEF"/>
    <w:rsid w:val="005045DF"/>
    <w:rsid w:val="00517957"/>
    <w:rsid w:val="0053439A"/>
    <w:rsid w:val="0053589C"/>
    <w:rsid w:val="005360B2"/>
    <w:rsid w:val="00557C83"/>
    <w:rsid w:val="005740DD"/>
    <w:rsid w:val="00577DB1"/>
    <w:rsid w:val="00595834"/>
    <w:rsid w:val="005965ED"/>
    <w:rsid w:val="005B4BEC"/>
    <w:rsid w:val="005C4A3D"/>
    <w:rsid w:val="005C5408"/>
    <w:rsid w:val="005C6AA8"/>
    <w:rsid w:val="005D2DCB"/>
    <w:rsid w:val="005E2C5A"/>
    <w:rsid w:val="005E58A5"/>
    <w:rsid w:val="005F25F2"/>
    <w:rsid w:val="00605A61"/>
    <w:rsid w:val="00610F75"/>
    <w:rsid w:val="00630656"/>
    <w:rsid w:val="00635FFB"/>
    <w:rsid w:val="00644C6B"/>
    <w:rsid w:val="006530E5"/>
    <w:rsid w:val="006568F7"/>
    <w:rsid w:val="00662DCE"/>
    <w:rsid w:val="0068552D"/>
    <w:rsid w:val="006A329A"/>
    <w:rsid w:val="006D1CC6"/>
    <w:rsid w:val="006D2D97"/>
    <w:rsid w:val="006F3073"/>
    <w:rsid w:val="00700967"/>
    <w:rsid w:val="00702666"/>
    <w:rsid w:val="00704331"/>
    <w:rsid w:val="00714459"/>
    <w:rsid w:val="007218E4"/>
    <w:rsid w:val="00732360"/>
    <w:rsid w:val="007556F0"/>
    <w:rsid w:val="007737FD"/>
    <w:rsid w:val="0077688D"/>
    <w:rsid w:val="007B1FEE"/>
    <w:rsid w:val="007B7E08"/>
    <w:rsid w:val="007D795E"/>
    <w:rsid w:val="007E1D4B"/>
    <w:rsid w:val="00804D89"/>
    <w:rsid w:val="00813A31"/>
    <w:rsid w:val="008167A7"/>
    <w:rsid w:val="00826EFD"/>
    <w:rsid w:val="008306C5"/>
    <w:rsid w:val="00837CF1"/>
    <w:rsid w:val="0086624E"/>
    <w:rsid w:val="00875CA7"/>
    <w:rsid w:val="008A0D1D"/>
    <w:rsid w:val="008C4A88"/>
    <w:rsid w:val="00921222"/>
    <w:rsid w:val="00931061"/>
    <w:rsid w:val="0096143C"/>
    <w:rsid w:val="009669AA"/>
    <w:rsid w:val="00990F08"/>
    <w:rsid w:val="00994AC7"/>
    <w:rsid w:val="009A181C"/>
    <w:rsid w:val="009D291F"/>
    <w:rsid w:val="009E5119"/>
    <w:rsid w:val="009F05DE"/>
    <w:rsid w:val="009F14EB"/>
    <w:rsid w:val="009F71AF"/>
    <w:rsid w:val="00A02439"/>
    <w:rsid w:val="00A03C7D"/>
    <w:rsid w:val="00A426DA"/>
    <w:rsid w:val="00A42884"/>
    <w:rsid w:val="00A45D6B"/>
    <w:rsid w:val="00A542B2"/>
    <w:rsid w:val="00A75EBE"/>
    <w:rsid w:val="00A81C49"/>
    <w:rsid w:val="00A9401C"/>
    <w:rsid w:val="00AA0C5F"/>
    <w:rsid w:val="00AA23B3"/>
    <w:rsid w:val="00AB0482"/>
    <w:rsid w:val="00AB4A0A"/>
    <w:rsid w:val="00AE5919"/>
    <w:rsid w:val="00AF7205"/>
    <w:rsid w:val="00B014AF"/>
    <w:rsid w:val="00B1419A"/>
    <w:rsid w:val="00B17E0D"/>
    <w:rsid w:val="00B22CD4"/>
    <w:rsid w:val="00B3269D"/>
    <w:rsid w:val="00B42534"/>
    <w:rsid w:val="00B54F0C"/>
    <w:rsid w:val="00B625F9"/>
    <w:rsid w:val="00B77E3E"/>
    <w:rsid w:val="00B80989"/>
    <w:rsid w:val="00B92761"/>
    <w:rsid w:val="00BA168D"/>
    <w:rsid w:val="00BA42EC"/>
    <w:rsid w:val="00BB3E11"/>
    <w:rsid w:val="00BB72CE"/>
    <w:rsid w:val="00BD749E"/>
    <w:rsid w:val="00BE1570"/>
    <w:rsid w:val="00BE27DF"/>
    <w:rsid w:val="00BE45C8"/>
    <w:rsid w:val="00C249AA"/>
    <w:rsid w:val="00C33831"/>
    <w:rsid w:val="00C37B86"/>
    <w:rsid w:val="00C4274B"/>
    <w:rsid w:val="00C56284"/>
    <w:rsid w:val="00C945B0"/>
    <w:rsid w:val="00C94F81"/>
    <w:rsid w:val="00C977E4"/>
    <w:rsid w:val="00CB7419"/>
    <w:rsid w:val="00CF6239"/>
    <w:rsid w:val="00D116DF"/>
    <w:rsid w:val="00D15044"/>
    <w:rsid w:val="00D15563"/>
    <w:rsid w:val="00D25A4D"/>
    <w:rsid w:val="00D2682B"/>
    <w:rsid w:val="00D472FB"/>
    <w:rsid w:val="00D538BD"/>
    <w:rsid w:val="00D555BE"/>
    <w:rsid w:val="00D852AE"/>
    <w:rsid w:val="00D95700"/>
    <w:rsid w:val="00DB65DA"/>
    <w:rsid w:val="00E07785"/>
    <w:rsid w:val="00E14150"/>
    <w:rsid w:val="00E50815"/>
    <w:rsid w:val="00E556AC"/>
    <w:rsid w:val="00E563E0"/>
    <w:rsid w:val="00E563E3"/>
    <w:rsid w:val="00E56C09"/>
    <w:rsid w:val="00E84C75"/>
    <w:rsid w:val="00E85F0D"/>
    <w:rsid w:val="00EA2F74"/>
    <w:rsid w:val="00EC101C"/>
    <w:rsid w:val="00EC1BD2"/>
    <w:rsid w:val="00ED6688"/>
    <w:rsid w:val="00ED75AE"/>
    <w:rsid w:val="00EE3C79"/>
    <w:rsid w:val="00EF074A"/>
    <w:rsid w:val="00F01ECB"/>
    <w:rsid w:val="00F0305C"/>
    <w:rsid w:val="00F076F9"/>
    <w:rsid w:val="00F11429"/>
    <w:rsid w:val="00F17D98"/>
    <w:rsid w:val="00F30291"/>
    <w:rsid w:val="00F36BD3"/>
    <w:rsid w:val="00F41836"/>
    <w:rsid w:val="00F530F2"/>
    <w:rsid w:val="00F66DFC"/>
    <w:rsid w:val="00F86C5B"/>
    <w:rsid w:val="00F879C3"/>
    <w:rsid w:val="00F87A06"/>
    <w:rsid w:val="00FA3729"/>
    <w:rsid w:val="00FB3DC1"/>
    <w:rsid w:val="00FB5FDA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848F"/>
  <w15:chartTrackingRefBased/>
  <w15:docId w15:val="{16FB4D32-A412-4084-8684-2C94D31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A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6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2E"/>
  </w:style>
  <w:style w:type="paragraph" w:styleId="Footer">
    <w:name w:val="footer"/>
    <w:basedOn w:val="Normal"/>
    <w:link w:val="FooterChar"/>
    <w:uiPriority w:val="99"/>
    <w:unhideWhenUsed/>
    <w:rsid w:val="00231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2E"/>
  </w:style>
  <w:style w:type="paragraph" w:styleId="ListParagraph">
    <w:name w:val="List Paragraph"/>
    <w:basedOn w:val="Normal"/>
    <w:uiPriority w:val="34"/>
    <w:qFormat/>
    <w:rsid w:val="00536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0B2"/>
    <w:rPr>
      <w:vertAlign w:val="superscript"/>
    </w:rPr>
  </w:style>
  <w:style w:type="character" w:styleId="Strong">
    <w:name w:val="Strong"/>
    <w:basedOn w:val="DefaultParagraphFont"/>
    <w:uiPriority w:val="22"/>
    <w:qFormat/>
    <w:rsid w:val="00ED75AE"/>
    <w:rPr>
      <w:b/>
      <w:bCs/>
    </w:rPr>
  </w:style>
  <w:style w:type="character" w:styleId="Hyperlink">
    <w:name w:val="Hyperlink"/>
    <w:basedOn w:val="DefaultParagraphFont"/>
    <w:uiPriority w:val="99"/>
    <w:unhideWhenUsed/>
    <w:rsid w:val="00ED7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A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7B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E0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62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25F9"/>
  </w:style>
  <w:style w:type="character" w:styleId="CommentReference">
    <w:name w:val="annotation reference"/>
    <w:basedOn w:val="DefaultParagraphFont"/>
    <w:uiPriority w:val="99"/>
    <w:semiHidden/>
    <w:unhideWhenUsed/>
    <w:rsid w:val="000242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D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D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A542B2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5A5FFEB6B44D89044C4567B9C891" ma:contentTypeVersion="14" ma:contentTypeDescription="Create a new document." ma:contentTypeScope="" ma:versionID="cf1c4d16af612551349e5d7a14180254">
  <xsd:schema xmlns:xsd="http://www.w3.org/2001/XMLSchema" xmlns:xs="http://www.w3.org/2001/XMLSchema" xmlns:p="http://schemas.microsoft.com/office/2006/metadata/properties" xmlns:ns2="5ffcb989-c431-4343-9f2c-bb807beba0ba" xmlns:ns3="13e6a255-3842-4a0b-a5fd-0578907ef259" targetNamespace="http://schemas.microsoft.com/office/2006/metadata/properties" ma:root="true" ma:fieldsID="dfc08ba726b83e718cc704911a8935d1" ns2:_="" ns3:_="">
    <xsd:import namespace="5ffcb989-c431-4343-9f2c-bb807beba0ba"/>
    <xsd:import namespace="13e6a255-3842-4a0b-a5fd-0578907ef2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b989-c431-4343-9f2c-bb807beba0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4ca31-9319-4f31-840b-14de4fdc853b}" ma:internalName="TaxCatchAll" ma:showField="CatchAllData" ma:web="5ffcb989-c431-4343-9f2c-bb807be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a255-3842-4a0b-a5fd-0578907e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b5858-f841-42ca-bcab-84cbcd01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6a255-3842-4a0b-a5fd-0578907ef259">
      <Terms xmlns="http://schemas.microsoft.com/office/infopath/2007/PartnerControls"/>
    </lcf76f155ced4ddcb4097134ff3c332f>
    <TaxCatchAll xmlns="5ffcb989-c431-4343-9f2c-bb807beba0ba" xsi:nil="true"/>
    <_dlc_DocId xmlns="5ffcb989-c431-4343-9f2c-bb807beba0ba">K6SEZF6NTFEM-105042740-4138</_dlc_DocId>
    <_dlc_DocIdUrl xmlns="5ffcb989-c431-4343-9f2c-bb807beba0ba">
      <Url>https://aucklandcitymission.sharepoint.com/sites/ACMHL-TenancyManagement/_layouts/15/DocIdRedir.aspx?ID=K6SEZF6NTFEM-105042740-4138</Url>
      <Description>K6SEZF6NTFEM-105042740-4138</Description>
    </_dlc_DocIdUrl>
  </documentManagement>
</p:properties>
</file>

<file path=customXml/itemProps1.xml><?xml version="1.0" encoding="utf-8"?>
<ds:datastoreItem xmlns:ds="http://schemas.openxmlformats.org/officeDocument/2006/customXml" ds:itemID="{40B0D9AC-6291-4482-A132-5CF5DE83D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BEEB1-7FCB-4C52-974C-FB0D9421F3E4}"/>
</file>

<file path=customXml/itemProps3.xml><?xml version="1.0" encoding="utf-8"?>
<ds:datastoreItem xmlns:ds="http://schemas.openxmlformats.org/officeDocument/2006/customXml" ds:itemID="{306873B3-7D93-453E-A9EF-79BAD88E96EF}"/>
</file>

<file path=customXml/itemProps4.xml><?xml version="1.0" encoding="utf-8"?>
<ds:datastoreItem xmlns:ds="http://schemas.openxmlformats.org/officeDocument/2006/customXml" ds:itemID="{4D151E7E-CD23-4DC3-8DB8-813D373ADACF}"/>
</file>

<file path=customXml/itemProps5.xml><?xml version="1.0" encoding="utf-8"?>
<ds:datastoreItem xmlns:ds="http://schemas.openxmlformats.org/officeDocument/2006/customXml" ds:itemID="{1B779287-1B85-4B3B-9BFA-A78E4D1AC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Puawai Coward-Ramsay</cp:lastModifiedBy>
  <cp:revision>2</cp:revision>
  <dcterms:created xsi:type="dcterms:W3CDTF">2024-09-12T01:28:00Z</dcterms:created>
  <dcterms:modified xsi:type="dcterms:W3CDTF">2024-09-12T01:28:00Z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0x010100E2605A5FFEB6B44D89044C4567B9C891</vt:lpwstr>
  </property>
  <property fmtid="{D5CDD505-2E9C-101B-9397-08002B2CF9AE}" pid="3" name="_dlc_DocIdItemGuid">
    <vt:lpwstr>e86aee97-349b-485b-a2da-d5e3b68f73c3</vt:lpwstr>
  </property>
</Properties>
</file>